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019" w:rsidRPr="00494E79" w:rsidRDefault="003755FD" w:rsidP="00C74A1C">
      <w:pPr>
        <w:spacing w:line="240" w:lineRule="auto"/>
        <w:jc w:val="center"/>
        <w:rPr>
          <w:b/>
          <w:sz w:val="24"/>
          <w:szCs w:val="24"/>
          <w:lang w:val="en-US"/>
        </w:rPr>
      </w:pPr>
      <w:r w:rsidRPr="00494E79">
        <w:rPr>
          <w:b/>
          <w:sz w:val="24"/>
          <w:szCs w:val="24"/>
          <w:lang w:val="en-US"/>
        </w:rPr>
        <w:t>Poland’s contribution for public consultation on the development of a new ITU Strategic Plan for 2016-2019</w:t>
      </w:r>
    </w:p>
    <w:p w:rsidR="003755FD" w:rsidRPr="00494E79" w:rsidRDefault="003755FD" w:rsidP="00C74A1C">
      <w:pPr>
        <w:spacing w:line="240" w:lineRule="auto"/>
        <w:jc w:val="center"/>
        <w:rPr>
          <w:b/>
          <w:sz w:val="24"/>
          <w:szCs w:val="24"/>
          <w:lang w:val="en-US"/>
        </w:rPr>
      </w:pPr>
    </w:p>
    <w:p w:rsidR="003755FD" w:rsidRPr="008B0AA9" w:rsidRDefault="00A4186A" w:rsidP="00C74A1C">
      <w:pPr>
        <w:spacing w:line="240" w:lineRule="auto"/>
        <w:jc w:val="center"/>
        <w:rPr>
          <w:b/>
          <w:sz w:val="24"/>
          <w:szCs w:val="24"/>
          <w:lang w:val="en-GB"/>
        </w:rPr>
      </w:pPr>
      <w:r w:rsidRPr="008B0AA9">
        <w:rPr>
          <w:b/>
          <w:sz w:val="24"/>
          <w:szCs w:val="24"/>
          <w:lang w:val="en-GB"/>
        </w:rPr>
        <w:t xml:space="preserve">Establishment of the </w:t>
      </w:r>
      <w:r w:rsidRPr="00AD493D">
        <w:rPr>
          <w:b/>
          <w:sz w:val="24"/>
          <w:szCs w:val="24"/>
          <w:lang w:val="en-GB"/>
        </w:rPr>
        <w:t>formal coordination mechanism concerning development projects in the field of telecommunications between the ITU and third party organisations</w:t>
      </w:r>
      <w:r w:rsidRPr="0022210C">
        <w:rPr>
          <w:b/>
          <w:sz w:val="24"/>
          <w:szCs w:val="24"/>
          <w:lang w:val="en-GB"/>
        </w:rPr>
        <w:t>.</w:t>
      </w:r>
    </w:p>
    <w:p w:rsidR="001D513F" w:rsidRPr="008B0AA9" w:rsidRDefault="001D513F" w:rsidP="00C74A1C">
      <w:pPr>
        <w:spacing w:line="240" w:lineRule="auto"/>
        <w:jc w:val="both"/>
        <w:rPr>
          <w:b/>
          <w:sz w:val="24"/>
          <w:szCs w:val="24"/>
          <w:lang w:val="en-GB"/>
        </w:rPr>
      </w:pPr>
    </w:p>
    <w:p w:rsidR="003522B2" w:rsidRDefault="001D513F" w:rsidP="00C74A1C">
      <w:pPr>
        <w:pStyle w:val="CEOSourceTitleDetails"/>
        <w:jc w:val="both"/>
        <w:rPr>
          <w:i/>
          <w:sz w:val="24"/>
          <w:szCs w:val="24"/>
        </w:rPr>
      </w:pPr>
      <w:r w:rsidRPr="003522B2">
        <w:rPr>
          <w:i/>
          <w:sz w:val="24"/>
          <w:szCs w:val="24"/>
        </w:rPr>
        <w:t xml:space="preserve">This contribution is to draw attention </w:t>
      </w:r>
      <w:r w:rsidR="00150243" w:rsidRPr="003522B2">
        <w:rPr>
          <w:i/>
          <w:sz w:val="24"/>
          <w:szCs w:val="24"/>
        </w:rPr>
        <w:t>to</w:t>
      </w:r>
      <w:r w:rsidRPr="003522B2">
        <w:rPr>
          <w:i/>
          <w:sz w:val="24"/>
          <w:szCs w:val="24"/>
        </w:rPr>
        <w:t xml:space="preserve"> the untapped potential that can be harnessed for the benefit of the developing world through the establishment of an effective and well-targeted cooperation between the ITU and organizations having resources, expertise and interest in the ICT filed</w:t>
      </w:r>
    </w:p>
    <w:p w:rsidR="00C74A1C" w:rsidRDefault="00C74A1C" w:rsidP="00C74A1C">
      <w:pPr>
        <w:pStyle w:val="CEOSourceTitleDetails"/>
        <w:jc w:val="both"/>
        <w:rPr>
          <w:rFonts w:cs="Times New Roman"/>
          <w:b/>
          <w:bCs/>
          <w:sz w:val="24"/>
          <w:szCs w:val="24"/>
          <w:u w:val="single"/>
        </w:rPr>
      </w:pPr>
    </w:p>
    <w:p w:rsidR="00150243" w:rsidRPr="00C74A1C" w:rsidRDefault="00150243" w:rsidP="00C74A1C">
      <w:pPr>
        <w:pStyle w:val="CEOSourceTitleDetails"/>
        <w:jc w:val="both"/>
        <w:rPr>
          <w:rFonts w:cs="Times New Roman"/>
          <w:b/>
          <w:bCs/>
          <w:sz w:val="24"/>
          <w:szCs w:val="24"/>
          <w:u w:val="single"/>
        </w:rPr>
      </w:pPr>
      <w:r w:rsidRPr="00C74A1C">
        <w:rPr>
          <w:rFonts w:cs="Times New Roman"/>
          <w:b/>
          <w:bCs/>
          <w:sz w:val="24"/>
          <w:szCs w:val="24"/>
          <w:u w:val="single"/>
        </w:rPr>
        <w:t>Background</w:t>
      </w:r>
    </w:p>
    <w:p w:rsidR="00983041" w:rsidRPr="003522B2" w:rsidRDefault="00C21D5F" w:rsidP="00C74A1C">
      <w:pPr>
        <w:pStyle w:val="CEOSourceTitleDetails"/>
        <w:jc w:val="both"/>
        <w:rPr>
          <w:rFonts w:cs="Times New Roman"/>
          <w:sz w:val="24"/>
          <w:szCs w:val="24"/>
        </w:rPr>
      </w:pPr>
      <w:r w:rsidRPr="003522B2">
        <w:rPr>
          <w:rFonts w:cs="Times New Roman"/>
          <w:sz w:val="24"/>
          <w:szCs w:val="24"/>
        </w:rPr>
        <w:t xml:space="preserve">The International Telecommunication Union is the world leading intergovernmental organization in the field of ICT. The ITU </w:t>
      </w:r>
      <w:r w:rsidR="00150243" w:rsidRPr="003522B2">
        <w:rPr>
          <w:rFonts w:cs="Times New Roman"/>
          <w:sz w:val="24"/>
          <w:szCs w:val="24"/>
        </w:rPr>
        <w:t xml:space="preserve">in general, and the Development Bureau in particular, possess </w:t>
      </w:r>
      <w:r w:rsidRPr="003522B2">
        <w:rPr>
          <w:rFonts w:cs="Times New Roman"/>
          <w:b/>
          <w:sz w:val="24"/>
          <w:szCs w:val="24"/>
        </w:rPr>
        <w:t xml:space="preserve">un undisputed and long-standing record of continuous commitment </w:t>
      </w:r>
      <w:r w:rsidR="00F0191A">
        <w:rPr>
          <w:rFonts w:cs="Times New Roman"/>
          <w:b/>
          <w:sz w:val="24"/>
          <w:szCs w:val="24"/>
        </w:rPr>
        <w:t>for</w:t>
      </w:r>
      <w:r w:rsidRPr="003522B2">
        <w:rPr>
          <w:rFonts w:cs="Times New Roman"/>
          <w:b/>
          <w:sz w:val="24"/>
          <w:szCs w:val="24"/>
        </w:rPr>
        <w:t xml:space="preserve"> </w:t>
      </w:r>
      <w:r w:rsidRPr="003522B2">
        <w:rPr>
          <w:rFonts w:cs="Times New Roman"/>
          <w:b/>
          <w:i/>
          <w:sz w:val="24"/>
          <w:szCs w:val="24"/>
        </w:rPr>
        <w:t>the development, expansion and operation of telecommunications networks and services, particularly in developing countries</w:t>
      </w:r>
      <w:r w:rsidRPr="003522B2">
        <w:rPr>
          <w:rFonts w:cs="Times New Roman"/>
          <w:sz w:val="24"/>
          <w:szCs w:val="24"/>
        </w:rPr>
        <w:t xml:space="preserve"> (ITU Constitution, Art. 21b)</w:t>
      </w:r>
      <w:r w:rsidR="007B2360" w:rsidRPr="003522B2">
        <w:rPr>
          <w:rFonts w:cs="Times New Roman"/>
          <w:sz w:val="24"/>
          <w:szCs w:val="24"/>
        </w:rPr>
        <w:t xml:space="preserve">. Through years of operation it gained </w:t>
      </w:r>
      <w:r w:rsidR="009B0386" w:rsidRPr="003522B2">
        <w:rPr>
          <w:rFonts w:cs="Times New Roman"/>
          <w:sz w:val="24"/>
          <w:szCs w:val="24"/>
        </w:rPr>
        <w:t xml:space="preserve">unparalleled </w:t>
      </w:r>
      <w:r w:rsidR="007B2360" w:rsidRPr="003522B2">
        <w:rPr>
          <w:rFonts w:cs="Times New Roman"/>
          <w:sz w:val="24"/>
          <w:szCs w:val="24"/>
        </w:rPr>
        <w:t xml:space="preserve">institutional </w:t>
      </w:r>
      <w:r w:rsidR="009B0386" w:rsidRPr="003522B2">
        <w:rPr>
          <w:rFonts w:cs="Times New Roman"/>
          <w:sz w:val="24"/>
          <w:szCs w:val="24"/>
        </w:rPr>
        <w:t xml:space="preserve">capacity </w:t>
      </w:r>
      <w:r w:rsidR="007B2360" w:rsidRPr="003522B2">
        <w:rPr>
          <w:rFonts w:cs="Times New Roman"/>
          <w:sz w:val="24"/>
          <w:szCs w:val="24"/>
        </w:rPr>
        <w:t>and human resources of the highest quality as well as significant competence in implementation of ICT projects</w:t>
      </w:r>
      <w:r w:rsidR="009B0386" w:rsidRPr="003522B2">
        <w:rPr>
          <w:rFonts w:cs="Times New Roman"/>
          <w:sz w:val="24"/>
          <w:szCs w:val="24"/>
        </w:rPr>
        <w:t>.</w:t>
      </w:r>
      <w:r w:rsidR="00983041" w:rsidRPr="003522B2">
        <w:rPr>
          <w:rFonts w:cs="Times New Roman"/>
          <w:sz w:val="24"/>
          <w:szCs w:val="24"/>
        </w:rPr>
        <w:t xml:space="preserve"> </w:t>
      </w:r>
    </w:p>
    <w:p w:rsidR="009B0386" w:rsidRPr="003522B2" w:rsidRDefault="00983041" w:rsidP="00C74A1C">
      <w:pPr>
        <w:pStyle w:val="CEOSourceTitleDetails"/>
        <w:jc w:val="both"/>
        <w:rPr>
          <w:rFonts w:cs="Times New Roman"/>
          <w:sz w:val="24"/>
          <w:szCs w:val="24"/>
        </w:rPr>
      </w:pPr>
      <w:r w:rsidRPr="003522B2">
        <w:rPr>
          <w:rFonts w:cs="Times New Roman"/>
          <w:sz w:val="24"/>
          <w:szCs w:val="24"/>
        </w:rPr>
        <w:t xml:space="preserve">Moreover, according to the ITU Constitution Art. 21d, one of the ITU-D functions is </w:t>
      </w:r>
      <w:r w:rsidRPr="003522B2">
        <w:rPr>
          <w:rFonts w:cs="Times New Roman"/>
          <w:b/>
          <w:i/>
          <w:sz w:val="24"/>
          <w:szCs w:val="24"/>
        </w:rPr>
        <w:t>to mobilize the resources to provide assistance in the field of telecommunications</w:t>
      </w:r>
      <w:r w:rsidRPr="003522B2">
        <w:rPr>
          <w:rFonts w:cs="Times New Roman"/>
          <w:sz w:val="24"/>
          <w:szCs w:val="24"/>
        </w:rPr>
        <w:t xml:space="preserve"> to developing countries.</w:t>
      </w:r>
    </w:p>
    <w:p w:rsidR="00BF7A56" w:rsidRPr="003522B2" w:rsidRDefault="00E85332" w:rsidP="00C74A1C">
      <w:pPr>
        <w:pStyle w:val="CEOSourceTitleDetails"/>
        <w:jc w:val="both"/>
        <w:rPr>
          <w:rFonts w:cs="Times New Roman"/>
          <w:sz w:val="24"/>
          <w:szCs w:val="24"/>
        </w:rPr>
      </w:pPr>
      <w:r w:rsidRPr="003522B2">
        <w:rPr>
          <w:rFonts w:cs="Times New Roman"/>
          <w:sz w:val="24"/>
          <w:szCs w:val="24"/>
        </w:rPr>
        <w:t xml:space="preserve">In that perspective, it is worth noting that the ITU is </w:t>
      </w:r>
      <w:r w:rsidR="00C22FDA" w:rsidRPr="003522B2">
        <w:rPr>
          <w:rFonts w:cs="Times New Roman"/>
          <w:sz w:val="24"/>
          <w:szCs w:val="24"/>
        </w:rPr>
        <w:t xml:space="preserve">however </w:t>
      </w:r>
      <w:r w:rsidRPr="003522B2">
        <w:rPr>
          <w:rFonts w:cs="Times New Roman"/>
          <w:sz w:val="24"/>
          <w:szCs w:val="24"/>
        </w:rPr>
        <w:t xml:space="preserve">not the only </w:t>
      </w:r>
      <w:r w:rsidR="00ED1CCA" w:rsidRPr="003522B2">
        <w:rPr>
          <w:rFonts w:cs="Times New Roman"/>
          <w:sz w:val="24"/>
          <w:szCs w:val="24"/>
        </w:rPr>
        <w:t>institution tasked with and interested in capacity building and facilitating sustainable growth driven by ICTs. There is a number of reg</w:t>
      </w:r>
      <w:r w:rsidR="00BF7A56" w:rsidRPr="003522B2">
        <w:rPr>
          <w:rFonts w:cs="Times New Roman"/>
          <w:sz w:val="24"/>
          <w:szCs w:val="24"/>
        </w:rPr>
        <w:t>ional and</w:t>
      </w:r>
      <w:r w:rsidR="00ED1CCA" w:rsidRPr="003522B2">
        <w:rPr>
          <w:rFonts w:cs="Times New Roman"/>
          <w:sz w:val="24"/>
          <w:szCs w:val="24"/>
        </w:rPr>
        <w:t xml:space="preserve"> global bodies of intergovernmental character that enjoy a</w:t>
      </w:r>
      <w:r w:rsidR="00F0191A">
        <w:rPr>
          <w:rFonts w:cs="Times New Roman"/>
          <w:sz w:val="24"/>
          <w:szCs w:val="24"/>
        </w:rPr>
        <w:t> </w:t>
      </w:r>
      <w:r w:rsidR="00ED1CCA" w:rsidRPr="003522B2">
        <w:rPr>
          <w:rFonts w:cs="Times New Roman"/>
          <w:sz w:val="24"/>
          <w:szCs w:val="24"/>
        </w:rPr>
        <w:t xml:space="preserve">well-established reputation for running successful </w:t>
      </w:r>
      <w:r w:rsidR="00F0191A">
        <w:rPr>
          <w:rFonts w:cs="Times New Roman"/>
          <w:sz w:val="24"/>
          <w:szCs w:val="24"/>
        </w:rPr>
        <w:t>ICT</w:t>
      </w:r>
      <w:r w:rsidR="00ED1CCA" w:rsidRPr="003522B2">
        <w:rPr>
          <w:rFonts w:cs="Times New Roman"/>
          <w:sz w:val="24"/>
          <w:szCs w:val="24"/>
        </w:rPr>
        <w:t xml:space="preserve"> projects in the LDCs, sharing in fact the ITU’s objectives in that field. </w:t>
      </w:r>
      <w:r w:rsidR="00BF7A56" w:rsidRPr="003522B2">
        <w:rPr>
          <w:rFonts w:cs="Times New Roman"/>
          <w:sz w:val="24"/>
          <w:szCs w:val="24"/>
        </w:rPr>
        <w:t>The likes of the European Union, The World Bank, The European Investment Bank or the European Bank for Reconstruction and Development</w:t>
      </w:r>
      <w:r w:rsidR="00C22FDA" w:rsidRPr="003522B2">
        <w:rPr>
          <w:rFonts w:cs="Times New Roman"/>
          <w:sz w:val="24"/>
          <w:szCs w:val="24"/>
        </w:rPr>
        <w:t xml:space="preserve"> can be </w:t>
      </w:r>
      <w:r w:rsidR="00BF7A56" w:rsidRPr="003522B2">
        <w:rPr>
          <w:rFonts w:cs="Times New Roman"/>
          <w:sz w:val="24"/>
          <w:szCs w:val="24"/>
        </w:rPr>
        <w:t xml:space="preserve">listed as examples. </w:t>
      </w:r>
    </w:p>
    <w:p w:rsidR="003C3776" w:rsidRDefault="003C3776" w:rsidP="00C74A1C">
      <w:pPr>
        <w:pStyle w:val="CEONormal"/>
        <w:jc w:val="both"/>
        <w:rPr>
          <w:rFonts w:asciiTheme="minorHAnsi" w:hAnsiTheme="minorHAnsi" w:cs="Times New Roman"/>
          <w:sz w:val="24"/>
          <w:szCs w:val="24"/>
        </w:rPr>
      </w:pPr>
      <w:r w:rsidRPr="003D111D">
        <w:rPr>
          <w:rFonts w:asciiTheme="minorHAnsi" w:hAnsiTheme="minorHAnsi" w:cs="Times New Roman"/>
          <w:sz w:val="24"/>
          <w:szCs w:val="24"/>
        </w:rPr>
        <w:t xml:space="preserve">There have already been </w:t>
      </w:r>
      <w:r w:rsidR="00254CE5">
        <w:rPr>
          <w:rFonts w:asciiTheme="minorHAnsi" w:hAnsiTheme="minorHAnsi" w:cs="Times New Roman"/>
          <w:sz w:val="24"/>
          <w:szCs w:val="24"/>
        </w:rPr>
        <w:t>cases</w:t>
      </w:r>
      <w:r w:rsidRPr="003D111D">
        <w:rPr>
          <w:rFonts w:asciiTheme="minorHAnsi" w:hAnsiTheme="minorHAnsi" w:cs="Times New Roman"/>
          <w:sz w:val="24"/>
          <w:szCs w:val="24"/>
        </w:rPr>
        <w:t xml:space="preserve"> of successful cooperation on ICT projects involving the ITU and other multilateral stakeholders. For the HIPSSA project the ITU and the European Union joined their efforts in a </w:t>
      </w:r>
      <w:r>
        <w:rPr>
          <w:rFonts w:asciiTheme="minorHAnsi" w:hAnsiTheme="minorHAnsi" w:cs="Times New Roman"/>
          <w:sz w:val="24"/>
          <w:szCs w:val="24"/>
        </w:rPr>
        <w:t>LDCs-targeted</w:t>
      </w:r>
      <w:r w:rsidRPr="003D111D">
        <w:rPr>
          <w:rFonts w:asciiTheme="minorHAnsi" w:hAnsiTheme="minorHAnsi" w:cs="Times New Roman"/>
          <w:sz w:val="24"/>
          <w:szCs w:val="24"/>
        </w:rPr>
        <w:t xml:space="preserve"> </w:t>
      </w:r>
      <w:r>
        <w:rPr>
          <w:rFonts w:asciiTheme="minorHAnsi" w:hAnsiTheme="minorHAnsi" w:cs="Times New Roman"/>
          <w:sz w:val="24"/>
          <w:szCs w:val="24"/>
        </w:rPr>
        <w:t>task</w:t>
      </w:r>
      <w:r w:rsidRPr="003D111D">
        <w:rPr>
          <w:rFonts w:asciiTheme="minorHAnsi" w:hAnsiTheme="minorHAnsi" w:cs="Times New Roman"/>
          <w:sz w:val="24"/>
          <w:szCs w:val="24"/>
        </w:rPr>
        <w:t xml:space="preserve"> which aimed at providing “Support for the establishment of harmonized policies for the ICT market in the ACP</w:t>
      </w:r>
      <w:r w:rsidRPr="003D111D">
        <w:rPr>
          <w:rStyle w:val="Odwoanieprzypisudolnego"/>
          <w:rFonts w:asciiTheme="minorHAnsi" w:hAnsiTheme="minorHAnsi" w:cs="Times New Roman"/>
          <w:sz w:val="24"/>
          <w:szCs w:val="24"/>
        </w:rPr>
        <w:footnoteReference w:id="1"/>
      </w:r>
      <w:r w:rsidRPr="003D111D">
        <w:rPr>
          <w:rFonts w:asciiTheme="minorHAnsi" w:hAnsiTheme="minorHAnsi" w:cs="Times New Roman"/>
          <w:sz w:val="24"/>
          <w:szCs w:val="24"/>
        </w:rPr>
        <w:t xml:space="preserve"> states”. HIPSSA </w:t>
      </w:r>
      <w:r>
        <w:rPr>
          <w:rFonts w:asciiTheme="minorHAnsi" w:hAnsiTheme="minorHAnsi" w:cs="Times New Roman"/>
          <w:sz w:val="24"/>
          <w:szCs w:val="24"/>
        </w:rPr>
        <w:t xml:space="preserve">addressed </w:t>
      </w:r>
      <w:r w:rsidRPr="00A234B2">
        <w:rPr>
          <w:rFonts w:asciiTheme="minorHAnsi" w:hAnsiTheme="minorHAnsi" w:cs="Times New Roman"/>
          <w:sz w:val="24"/>
          <w:szCs w:val="24"/>
        </w:rPr>
        <w:t xml:space="preserve">regulatory challenges </w:t>
      </w:r>
      <w:r>
        <w:rPr>
          <w:rFonts w:asciiTheme="minorHAnsi" w:hAnsiTheme="minorHAnsi" w:cs="Times New Roman"/>
          <w:sz w:val="24"/>
          <w:szCs w:val="24"/>
        </w:rPr>
        <w:t>standing in</w:t>
      </w:r>
      <w:r w:rsidRPr="00A234B2">
        <w:rPr>
          <w:rFonts w:asciiTheme="minorHAnsi" w:hAnsiTheme="minorHAnsi" w:cs="Times New Roman"/>
          <w:sz w:val="24"/>
          <w:szCs w:val="24"/>
        </w:rPr>
        <w:t xml:space="preserve"> the way of</w:t>
      </w:r>
      <w:r w:rsidRPr="003D111D">
        <w:rPr>
          <w:rFonts w:asciiTheme="minorHAnsi" w:hAnsiTheme="minorHAnsi" w:cs="Times New Roman"/>
          <w:sz w:val="24"/>
          <w:szCs w:val="24"/>
        </w:rPr>
        <w:t xml:space="preserve"> </w:t>
      </w:r>
      <w:r>
        <w:rPr>
          <w:rFonts w:asciiTheme="minorHAnsi" w:hAnsiTheme="minorHAnsi" w:cs="Times New Roman"/>
          <w:sz w:val="24"/>
          <w:szCs w:val="24"/>
        </w:rPr>
        <w:t>the</w:t>
      </w:r>
      <w:r w:rsidRPr="003D111D">
        <w:rPr>
          <w:rFonts w:asciiTheme="minorHAnsi" w:hAnsiTheme="minorHAnsi" w:cs="Times New Roman"/>
          <w:sz w:val="24"/>
          <w:szCs w:val="24"/>
        </w:rPr>
        <w:t xml:space="preserve"> beneficiary countries in their attempts to create a conducive environment for massive investments in ICT infrastructures. The g</w:t>
      </w:r>
      <w:r>
        <w:rPr>
          <w:rFonts w:asciiTheme="minorHAnsi" w:hAnsiTheme="minorHAnsi" w:cs="Times New Roman"/>
          <w:sz w:val="24"/>
          <w:szCs w:val="24"/>
        </w:rPr>
        <w:t xml:space="preserve">eneral </w:t>
      </w:r>
      <w:r w:rsidRPr="003D111D">
        <w:rPr>
          <w:rFonts w:asciiTheme="minorHAnsi" w:hAnsiTheme="minorHAnsi" w:cs="Times New Roman"/>
          <w:sz w:val="24"/>
          <w:szCs w:val="24"/>
        </w:rPr>
        <w:t xml:space="preserve">objective was to provide support to creating harmonized policies for ICT for each beneficiary country in Sub-Sahara Africa. Around 40 beneficiary countries were involved in </w:t>
      </w:r>
      <w:r>
        <w:rPr>
          <w:rFonts w:asciiTheme="minorHAnsi" w:hAnsiTheme="minorHAnsi" w:cs="Times New Roman"/>
          <w:sz w:val="24"/>
          <w:szCs w:val="24"/>
        </w:rPr>
        <w:t>carrying-out</w:t>
      </w:r>
      <w:r w:rsidRPr="003D111D">
        <w:rPr>
          <w:rFonts w:asciiTheme="minorHAnsi" w:hAnsiTheme="minorHAnsi" w:cs="Times New Roman"/>
          <w:sz w:val="24"/>
          <w:szCs w:val="24"/>
        </w:rPr>
        <w:t xml:space="preserve"> of this project, as well as institutions such as ECOWAS, African Union, African Telecommunication Union, World Bank.</w:t>
      </w:r>
    </w:p>
    <w:p w:rsidR="003C3776" w:rsidRPr="003D111D" w:rsidRDefault="003C3776" w:rsidP="00C74A1C">
      <w:pPr>
        <w:pStyle w:val="CEONormal"/>
        <w:jc w:val="both"/>
        <w:rPr>
          <w:rFonts w:asciiTheme="minorHAnsi" w:hAnsiTheme="minorHAnsi" w:cs="Times New Roman"/>
          <w:sz w:val="24"/>
          <w:szCs w:val="24"/>
        </w:rPr>
      </w:pPr>
      <w:r>
        <w:rPr>
          <w:rFonts w:asciiTheme="minorHAnsi" w:hAnsiTheme="minorHAnsi" w:cs="Times New Roman"/>
          <w:sz w:val="24"/>
          <w:szCs w:val="24"/>
        </w:rPr>
        <w:lastRenderedPageBreak/>
        <w:t>That experience is a great example and an opportunity to draw from in order to take the ITU’s operational approach to a truly global and multi</w:t>
      </w:r>
      <w:r w:rsidR="00036D00">
        <w:rPr>
          <w:rFonts w:asciiTheme="minorHAnsi" w:hAnsiTheme="minorHAnsi" w:cs="Times New Roman"/>
          <w:sz w:val="24"/>
          <w:szCs w:val="24"/>
        </w:rPr>
        <w:t>lateral</w:t>
      </w:r>
      <w:r>
        <w:rPr>
          <w:rFonts w:asciiTheme="minorHAnsi" w:hAnsiTheme="minorHAnsi" w:cs="Times New Roman"/>
          <w:sz w:val="24"/>
          <w:szCs w:val="24"/>
        </w:rPr>
        <w:t xml:space="preserve"> level of results-based networking.  </w:t>
      </w:r>
    </w:p>
    <w:p w:rsidR="00195D9F" w:rsidRDefault="00195D9F" w:rsidP="00C74A1C">
      <w:pPr>
        <w:pStyle w:val="CEOSourceTitleDetails"/>
        <w:jc w:val="both"/>
        <w:rPr>
          <w:rFonts w:cs="Times New Roman"/>
          <w:b/>
          <w:bCs/>
          <w:sz w:val="24"/>
          <w:szCs w:val="24"/>
        </w:rPr>
      </w:pPr>
    </w:p>
    <w:p w:rsidR="00C22FDA" w:rsidRPr="00C74A1C" w:rsidRDefault="00C50B35" w:rsidP="00C74A1C">
      <w:pPr>
        <w:pStyle w:val="CEOSourceTitleDetails"/>
        <w:jc w:val="both"/>
        <w:rPr>
          <w:rFonts w:cs="Times New Roman"/>
          <w:b/>
          <w:bCs/>
          <w:sz w:val="24"/>
          <w:szCs w:val="24"/>
          <w:u w:val="single"/>
        </w:rPr>
      </w:pPr>
      <w:r w:rsidRPr="00C74A1C">
        <w:rPr>
          <w:rFonts w:cs="Times New Roman"/>
          <w:b/>
          <w:bCs/>
          <w:sz w:val="24"/>
          <w:szCs w:val="24"/>
          <w:u w:val="single"/>
        </w:rPr>
        <w:t>P</w:t>
      </w:r>
      <w:r w:rsidR="00C22FDA" w:rsidRPr="00C74A1C">
        <w:rPr>
          <w:rFonts w:cs="Times New Roman"/>
          <w:b/>
          <w:bCs/>
          <w:sz w:val="24"/>
          <w:szCs w:val="24"/>
          <w:u w:val="single"/>
        </w:rPr>
        <w:t>roposal</w:t>
      </w:r>
    </w:p>
    <w:p w:rsidR="00C74A1C" w:rsidRDefault="00254CE5" w:rsidP="00C74A1C">
      <w:pPr>
        <w:pStyle w:val="CEOSourceTitleDetails"/>
        <w:jc w:val="both"/>
        <w:rPr>
          <w:rFonts w:cs="Times New Roman"/>
          <w:b/>
          <w:sz w:val="24"/>
          <w:szCs w:val="24"/>
        </w:rPr>
      </w:pPr>
      <w:r w:rsidRPr="004112E2">
        <w:rPr>
          <w:rFonts w:cs="Times New Roman"/>
          <w:b/>
          <w:sz w:val="24"/>
          <w:szCs w:val="24"/>
        </w:rPr>
        <w:t xml:space="preserve">The idea behind this </w:t>
      </w:r>
      <w:r>
        <w:rPr>
          <w:rFonts w:cs="Times New Roman"/>
          <w:b/>
          <w:sz w:val="24"/>
          <w:szCs w:val="24"/>
        </w:rPr>
        <w:t>way of thinking</w:t>
      </w:r>
      <w:r w:rsidRPr="004112E2">
        <w:rPr>
          <w:rFonts w:cs="Times New Roman"/>
          <w:b/>
          <w:sz w:val="24"/>
          <w:szCs w:val="24"/>
        </w:rPr>
        <w:t xml:space="preserve">, which Poland </w:t>
      </w:r>
      <w:r w:rsidR="00252C02" w:rsidRPr="00AD493D">
        <w:rPr>
          <w:rFonts w:cs="Times New Roman"/>
          <w:b/>
          <w:sz w:val="24"/>
          <w:szCs w:val="24"/>
        </w:rPr>
        <w:t xml:space="preserve">has already put </w:t>
      </w:r>
      <w:r w:rsidR="00773BE8">
        <w:rPr>
          <w:rFonts w:cs="Times New Roman"/>
          <w:b/>
          <w:sz w:val="24"/>
          <w:szCs w:val="24"/>
        </w:rPr>
        <w:t>a</w:t>
      </w:r>
      <w:bookmarkStart w:id="0" w:name="_GoBack"/>
      <w:bookmarkEnd w:id="0"/>
      <w:r w:rsidR="00252C02">
        <w:rPr>
          <w:rFonts w:cs="Times New Roman"/>
          <w:b/>
          <w:sz w:val="24"/>
          <w:szCs w:val="24"/>
        </w:rPr>
        <w:t xml:space="preserve">cross </w:t>
      </w:r>
      <w:r w:rsidRPr="003B6B1E">
        <w:rPr>
          <w:rFonts w:cs="Times New Roman"/>
          <w:b/>
          <w:sz w:val="24"/>
          <w:szCs w:val="24"/>
        </w:rPr>
        <w:t xml:space="preserve">on different occasions </w:t>
      </w:r>
      <w:r w:rsidRPr="004112E2">
        <w:rPr>
          <w:rFonts w:cs="Times New Roman"/>
          <w:b/>
          <w:sz w:val="24"/>
          <w:szCs w:val="24"/>
        </w:rPr>
        <w:t>(</w:t>
      </w:r>
      <w:proofErr w:type="spellStart"/>
      <w:r w:rsidRPr="004112E2">
        <w:rPr>
          <w:rFonts w:cs="Times New Roman"/>
          <w:b/>
          <w:sz w:val="24"/>
          <w:szCs w:val="24"/>
        </w:rPr>
        <w:t>eg</w:t>
      </w:r>
      <w:proofErr w:type="spellEnd"/>
      <w:r w:rsidRPr="004112E2">
        <w:rPr>
          <w:rFonts w:cs="Times New Roman"/>
          <w:b/>
          <w:sz w:val="24"/>
          <w:szCs w:val="24"/>
        </w:rPr>
        <w:t>. RPMs for WTDC-14) is to work for greater openness of the ITU so that is reaches out beyond its boundaries and try to incorporate third party institutional approach in order to find regional and global synergies</w:t>
      </w:r>
      <w:r w:rsidR="009067CB">
        <w:rPr>
          <w:rFonts w:cs="Times New Roman"/>
          <w:b/>
          <w:sz w:val="24"/>
          <w:szCs w:val="24"/>
        </w:rPr>
        <w:t xml:space="preserve"> especially for the LDCs</w:t>
      </w:r>
      <w:r w:rsidRPr="004112E2">
        <w:rPr>
          <w:rFonts w:cs="Times New Roman"/>
          <w:b/>
          <w:sz w:val="24"/>
          <w:szCs w:val="24"/>
        </w:rPr>
        <w:t xml:space="preserve">.  </w:t>
      </w:r>
    </w:p>
    <w:p w:rsidR="00C74A1C" w:rsidRDefault="00AD493D" w:rsidP="00C74A1C">
      <w:pPr>
        <w:pStyle w:val="CEOSourceTitleDetails"/>
        <w:jc w:val="both"/>
        <w:rPr>
          <w:rFonts w:cs="Times New Roman"/>
          <w:sz w:val="24"/>
          <w:szCs w:val="24"/>
        </w:rPr>
      </w:pPr>
      <w:r w:rsidRPr="00AD493D">
        <w:rPr>
          <w:rFonts w:cs="Times New Roman"/>
          <w:sz w:val="24"/>
          <w:szCs w:val="24"/>
        </w:rPr>
        <w:t>Poland believes that</w:t>
      </w:r>
      <w:r>
        <w:rPr>
          <w:rFonts w:cs="Times New Roman"/>
          <w:sz w:val="24"/>
          <w:szCs w:val="24"/>
        </w:rPr>
        <w:t>,</w:t>
      </w:r>
      <w:r w:rsidRPr="00AD493D">
        <w:rPr>
          <w:rFonts w:cs="Times New Roman"/>
          <w:sz w:val="24"/>
          <w:szCs w:val="24"/>
        </w:rPr>
        <w:t xml:space="preserve"> </w:t>
      </w:r>
      <w:r>
        <w:rPr>
          <w:rFonts w:cs="Times New Roman"/>
          <w:sz w:val="24"/>
          <w:szCs w:val="24"/>
        </w:rPr>
        <w:t>when put against</w:t>
      </w:r>
      <w:r w:rsidRPr="00AD493D">
        <w:rPr>
          <w:rFonts w:cs="Times New Roman"/>
          <w:sz w:val="24"/>
          <w:szCs w:val="24"/>
        </w:rPr>
        <w:t xml:space="preserve"> the preliminary agreed structure of the Strategic Plan for the Union for 2016-2019</w:t>
      </w:r>
      <w:r>
        <w:rPr>
          <w:rFonts w:cs="Times New Roman"/>
          <w:sz w:val="24"/>
          <w:szCs w:val="24"/>
        </w:rPr>
        <w:t>,</w:t>
      </w:r>
      <w:r w:rsidRPr="00AD493D">
        <w:rPr>
          <w:rFonts w:cs="Times New Roman"/>
          <w:sz w:val="24"/>
          <w:szCs w:val="24"/>
        </w:rPr>
        <w:t xml:space="preserve"> the establishment of a </w:t>
      </w:r>
      <w:r w:rsidRPr="003522B2">
        <w:rPr>
          <w:rFonts w:cs="Times New Roman"/>
          <w:b/>
          <w:sz w:val="24"/>
          <w:szCs w:val="24"/>
        </w:rPr>
        <w:t xml:space="preserve">formal </w:t>
      </w:r>
      <w:r w:rsidRPr="00252C02">
        <w:rPr>
          <w:b/>
          <w:sz w:val="24"/>
          <w:szCs w:val="24"/>
        </w:rPr>
        <w:t>coordination mechanism</w:t>
      </w:r>
      <w:r w:rsidRPr="00630246">
        <w:rPr>
          <w:sz w:val="24"/>
          <w:szCs w:val="24"/>
        </w:rPr>
        <w:t xml:space="preserve"> </w:t>
      </w:r>
      <w:r w:rsidRPr="003522B2">
        <w:rPr>
          <w:b/>
          <w:sz w:val="24"/>
          <w:szCs w:val="24"/>
        </w:rPr>
        <w:t xml:space="preserve">could </w:t>
      </w:r>
      <w:r w:rsidR="00254CE5">
        <w:rPr>
          <w:b/>
          <w:sz w:val="24"/>
          <w:szCs w:val="24"/>
        </w:rPr>
        <w:t>form</w:t>
      </w:r>
      <w:r w:rsidRPr="003522B2">
        <w:rPr>
          <w:b/>
          <w:sz w:val="24"/>
          <w:szCs w:val="24"/>
        </w:rPr>
        <w:t xml:space="preserve"> one </w:t>
      </w:r>
      <w:r w:rsidR="00254CE5">
        <w:rPr>
          <w:b/>
          <w:sz w:val="24"/>
          <w:szCs w:val="24"/>
        </w:rPr>
        <w:t xml:space="preserve">of the </w:t>
      </w:r>
      <w:r w:rsidRPr="003522B2">
        <w:rPr>
          <w:b/>
          <w:sz w:val="24"/>
          <w:szCs w:val="24"/>
        </w:rPr>
        <w:t>strategic goals and targets of the Union</w:t>
      </w:r>
      <w:r w:rsidR="00FF7EBA">
        <w:rPr>
          <w:b/>
          <w:sz w:val="24"/>
          <w:szCs w:val="24"/>
        </w:rPr>
        <w:t xml:space="preserve">. </w:t>
      </w:r>
      <w:r w:rsidR="00FF7EBA" w:rsidRPr="00FF7EBA">
        <w:rPr>
          <w:sz w:val="24"/>
          <w:szCs w:val="24"/>
        </w:rPr>
        <w:t>T</w:t>
      </w:r>
      <w:r w:rsidR="00252C02">
        <w:rPr>
          <w:sz w:val="24"/>
          <w:szCs w:val="24"/>
        </w:rPr>
        <w:t>h</w:t>
      </w:r>
      <w:r w:rsidR="00FF7EBA">
        <w:rPr>
          <w:sz w:val="24"/>
          <w:szCs w:val="24"/>
        </w:rPr>
        <w:t>ere is an urging need not only to consolidate ITU relevance in the fast changing ICT environment but above all to mobilize  different resources (financial and human) in times of economic crisis.</w:t>
      </w:r>
      <w:r w:rsidR="00630246">
        <w:rPr>
          <w:sz w:val="24"/>
          <w:szCs w:val="24"/>
        </w:rPr>
        <w:t xml:space="preserve"> </w:t>
      </w:r>
      <w:r w:rsidR="00563C14" w:rsidRPr="004112E2">
        <w:rPr>
          <w:rFonts w:cs="Times New Roman"/>
          <w:sz w:val="24"/>
          <w:szCs w:val="24"/>
        </w:rPr>
        <w:t xml:space="preserve">Bringing the following proposal to discussion, Poland </w:t>
      </w:r>
      <w:r w:rsidR="00630246">
        <w:rPr>
          <w:rFonts w:cs="Times New Roman"/>
          <w:sz w:val="24"/>
          <w:szCs w:val="24"/>
        </w:rPr>
        <w:t xml:space="preserve">wishes </w:t>
      </w:r>
      <w:r w:rsidR="00563C14" w:rsidRPr="004112E2">
        <w:rPr>
          <w:rFonts w:cs="Times New Roman"/>
          <w:sz w:val="24"/>
          <w:szCs w:val="24"/>
        </w:rPr>
        <w:t>to recall ITU-D objectives deriving from ITU-D rolling</w:t>
      </w:r>
      <w:r w:rsidR="00630246">
        <w:rPr>
          <w:rFonts w:cs="Times New Roman"/>
          <w:sz w:val="24"/>
          <w:szCs w:val="24"/>
        </w:rPr>
        <w:t xml:space="preserve"> operation plan for 2012-2015</w:t>
      </w:r>
      <w:r w:rsidR="00563C14" w:rsidRPr="004112E2">
        <w:rPr>
          <w:rFonts w:cs="Times New Roman"/>
          <w:sz w:val="24"/>
          <w:szCs w:val="24"/>
        </w:rPr>
        <w:t>: “</w:t>
      </w:r>
      <w:r w:rsidR="00563C14" w:rsidRPr="003522B2">
        <w:rPr>
          <w:rFonts w:cs="Times New Roman"/>
          <w:i/>
          <w:sz w:val="24"/>
          <w:szCs w:val="24"/>
        </w:rPr>
        <w:t>To assist the membership in maximizing the utilization of appropriate new technologies, including broadband, to develop their telecommunication/ ICT infrastructures and services, and to design and deploy resilient telecommunication/ICT network infrastructures</w:t>
      </w:r>
      <w:r w:rsidR="00563C14" w:rsidRPr="004112E2">
        <w:rPr>
          <w:rFonts w:cs="Times New Roman"/>
          <w:sz w:val="24"/>
          <w:szCs w:val="24"/>
        </w:rPr>
        <w:t>.”</w:t>
      </w:r>
      <w:r w:rsidR="002066EE">
        <w:rPr>
          <w:rFonts w:cs="Times New Roman"/>
          <w:sz w:val="24"/>
          <w:szCs w:val="24"/>
        </w:rPr>
        <w:t xml:space="preserve"> Without reso</w:t>
      </w:r>
      <w:r w:rsidR="0022210C">
        <w:rPr>
          <w:rFonts w:cs="Times New Roman"/>
          <w:sz w:val="24"/>
          <w:szCs w:val="24"/>
        </w:rPr>
        <w:t xml:space="preserve">urces mobilized some the basic tasks of the ITU could run the unwanted risk of failure. </w:t>
      </w:r>
    </w:p>
    <w:p w:rsidR="00C33440" w:rsidRPr="00C74A1C" w:rsidRDefault="0022210C" w:rsidP="00C74A1C">
      <w:pPr>
        <w:pStyle w:val="CEOSourceTitleDetails"/>
        <w:jc w:val="both"/>
        <w:rPr>
          <w:rFonts w:cs="Times New Roman"/>
          <w:b/>
          <w:sz w:val="24"/>
          <w:szCs w:val="24"/>
        </w:rPr>
      </w:pPr>
      <w:r w:rsidRPr="003522B2">
        <w:rPr>
          <w:rFonts w:cs="Times New Roman"/>
          <w:b/>
          <w:sz w:val="24"/>
          <w:szCs w:val="24"/>
        </w:rPr>
        <w:t>Given the circumstances the approach of managing</w:t>
      </w:r>
      <w:r w:rsidR="005C6396">
        <w:rPr>
          <w:rFonts w:cs="Times New Roman"/>
          <w:b/>
          <w:sz w:val="24"/>
          <w:szCs w:val="24"/>
        </w:rPr>
        <w:t xml:space="preserve">, harnessing </w:t>
      </w:r>
      <w:r w:rsidRPr="003522B2">
        <w:rPr>
          <w:rFonts w:cs="Times New Roman"/>
          <w:b/>
          <w:sz w:val="24"/>
          <w:szCs w:val="24"/>
        </w:rPr>
        <w:t xml:space="preserve">and </w:t>
      </w:r>
      <w:r w:rsidR="005C6396" w:rsidRPr="00C33440">
        <w:rPr>
          <w:rFonts w:cs="Times New Roman"/>
          <w:b/>
          <w:sz w:val="24"/>
          <w:szCs w:val="24"/>
        </w:rPr>
        <w:t>putting to work</w:t>
      </w:r>
      <w:r w:rsidRPr="003522B2">
        <w:rPr>
          <w:rFonts w:cs="Times New Roman"/>
          <w:b/>
          <w:sz w:val="24"/>
          <w:szCs w:val="24"/>
        </w:rPr>
        <w:t xml:space="preserve"> joint efforts coming from different stakeholders sharing the same objectives m</w:t>
      </w:r>
      <w:r w:rsidR="005C6396" w:rsidRPr="00C33440">
        <w:rPr>
          <w:rFonts w:cs="Times New Roman"/>
          <w:b/>
          <w:sz w:val="24"/>
          <w:szCs w:val="24"/>
        </w:rPr>
        <w:t>ay</w:t>
      </w:r>
      <w:r w:rsidRPr="003522B2">
        <w:rPr>
          <w:rFonts w:cs="Times New Roman"/>
          <w:b/>
          <w:sz w:val="24"/>
          <w:szCs w:val="24"/>
        </w:rPr>
        <w:t xml:space="preserve"> well be the very model for the ITU of the future</w:t>
      </w:r>
      <w:r w:rsidR="00C33440" w:rsidRPr="003522B2">
        <w:rPr>
          <w:rFonts w:cs="Times New Roman"/>
          <w:sz w:val="24"/>
          <w:szCs w:val="24"/>
        </w:rPr>
        <w:t>,</w:t>
      </w:r>
      <w:r w:rsidR="00C33440">
        <w:rPr>
          <w:rFonts w:cs="Times New Roman"/>
          <w:sz w:val="24"/>
          <w:szCs w:val="24"/>
        </w:rPr>
        <w:t xml:space="preserve"> a model of multilateral </w:t>
      </w:r>
      <w:r w:rsidR="00C33440" w:rsidRPr="003522B2">
        <w:rPr>
          <w:rFonts w:cs="Times New Roman"/>
          <w:sz w:val="24"/>
          <w:szCs w:val="24"/>
        </w:rPr>
        <w:t>amplification</w:t>
      </w:r>
      <w:r w:rsidR="008B0AA9" w:rsidRPr="003522B2">
        <w:rPr>
          <w:rStyle w:val="Odwoanieprzypisudolnego"/>
          <w:rFonts w:cs="Times New Roman"/>
          <w:sz w:val="24"/>
          <w:szCs w:val="24"/>
        </w:rPr>
        <w:footnoteReference w:id="2"/>
      </w:r>
      <w:r w:rsidR="00C33440" w:rsidRPr="003522B2">
        <w:rPr>
          <w:rFonts w:cs="Times New Roman"/>
          <w:sz w:val="24"/>
          <w:szCs w:val="24"/>
        </w:rPr>
        <w:t xml:space="preserve"> in a global perspective rather than the one of overlapping </w:t>
      </w:r>
      <w:r w:rsidR="00C33440" w:rsidRPr="00C50B35">
        <w:rPr>
          <w:rFonts w:cs="Times New Roman"/>
          <w:sz w:val="24"/>
          <w:szCs w:val="24"/>
        </w:rPr>
        <w:t>activities.</w:t>
      </w:r>
      <w:r w:rsidR="00C33440" w:rsidRPr="00C74A1C">
        <w:rPr>
          <w:rFonts w:cs="Times New Roman"/>
          <w:b/>
          <w:sz w:val="24"/>
          <w:szCs w:val="24"/>
        </w:rPr>
        <w:t xml:space="preserve"> </w:t>
      </w:r>
    </w:p>
    <w:p w:rsidR="00C74A1C" w:rsidRDefault="00C74A1C" w:rsidP="00C74A1C">
      <w:pPr>
        <w:pStyle w:val="CEOSourceTitleDetails"/>
        <w:jc w:val="both"/>
        <w:rPr>
          <w:rFonts w:cs="Times New Roman"/>
          <w:b/>
          <w:bCs/>
          <w:sz w:val="24"/>
          <w:szCs w:val="24"/>
          <w:u w:val="single"/>
        </w:rPr>
      </w:pPr>
    </w:p>
    <w:p w:rsidR="00150243" w:rsidRPr="00C74A1C" w:rsidRDefault="00150243" w:rsidP="00C74A1C">
      <w:pPr>
        <w:pStyle w:val="CEOSourceTitleDetails"/>
        <w:jc w:val="both"/>
        <w:rPr>
          <w:rFonts w:cs="Times New Roman"/>
          <w:b/>
          <w:bCs/>
          <w:sz w:val="24"/>
          <w:szCs w:val="24"/>
          <w:u w:val="single"/>
        </w:rPr>
      </w:pPr>
      <w:r w:rsidRPr="00C74A1C">
        <w:rPr>
          <w:rFonts w:cs="Times New Roman"/>
          <w:b/>
          <w:bCs/>
          <w:sz w:val="24"/>
          <w:szCs w:val="24"/>
          <w:u w:val="single"/>
        </w:rPr>
        <w:t>Financial implications for the ITU</w:t>
      </w:r>
    </w:p>
    <w:p w:rsidR="00150243" w:rsidRPr="003522B2" w:rsidRDefault="00150243" w:rsidP="00C74A1C">
      <w:pPr>
        <w:pStyle w:val="CEOSourceTitleDetails"/>
        <w:jc w:val="both"/>
        <w:rPr>
          <w:rFonts w:cs="Times New Roman"/>
          <w:sz w:val="24"/>
          <w:szCs w:val="24"/>
        </w:rPr>
      </w:pPr>
      <w:r w:rsidRPr="003522B2">
        <w:rPr>
          <w:rFonts w:cs="Times New Roman"/>
          <w:sz w:val="24"/>
          <w:szCs w:val="24"/>
        </w:rPr>
        <w:t xml:space="preserve">Poland believes that implementation of this proposal would not generate additional costs for ITU budget. The travel expenses of BDT and its staff may increase, however, the </w:t>
      </w:r>
      <w:r w:rsidR="00036D00">
        <w:rPr>
          <w:rFonts w:cs="Times New Roman"/>
          <w:sz w:val="24"/>
          <w:szCs w:val="24"/>
        </w:rPr>
        <w:t xml:space="preserve">negative </w:t>
      </w:r>
      <w:r w:rsidRPr="003522B2">
        <w:rPr>
          <w:rFonts w:cs="Times New Roman"/>
          <w:sz w:val="24"/>
          <w:szCs w:val="24"/>
        </w:rPr>
        <w:t>effect could be mitigated with the use of virtual parti</w:t>
      </w:r>
      <w:r w:rsidR="00036D00">
        <w:rPr>
          <w:rFonts w:cs="Times New Roman"/>
          <w:sz w:val="24"/>
          <w:szCs w:val="24"/>
        </w:rPr>
        <w:t>cipation tools and ICTs. In consequence</w:t>
      </w:r>
      <w:r w:rsidRPr="003522B2">
        <w:rPr>
          <w:rFonts w:cs="Times New Roman"/>
          <w:sz w:val="24"/>
          <w:szCs w:val="24"/>
        </w:rPr>
        <w:t>, the fulfilment of ITU-D mission could be easier</w:t>
      </w:r>
      <w:r w:rsidR="00036D00">
        <w:rPr>
          <w:rFonts w:cs="Times New Roman"/>
          <w:sz w:val="24"/>
          <w:szCs w:val="24"/>
        </w:rPr>
        <w:t xml:space="preserve"> to achieve</w:t>
      </w:r>
      <w:r w:rsidRPr="003522B2">
        <w:rPr>
          <w:rFonts w:cs="Times New Roman"/>
          <w:sz w:val="24"/>
          <w:szCs w:val="24"/>
        </w:rPr>
        <w:t xml:space="preserve"> and the </w:t>
      </w:r>
      <w:r w:rsidR="00036D00">
        <w:rPr>
          <w:rFonts w:cs="Times New Roman"/>
          <w:sz w:val="24"/>
          <w:szCs w:val="24"/>
        </w:rPr>
        <w:t xml:space="preserve">overall </w:t>
      </w:r>
      <w:r w:rsidRPr="003522B2">
        <w:rPr>
          <w:rFonts w:cs="Times New Roman"/>
          <w:sz w:val="24"/>
          <w:szCs w:val="24"/>
        </w:rPr>
        <w:t xml:space="preserve">cost for </w:t>
      </w:r>
      <w:r w:rsidR="00036D00">
        <w:rPr>
          <w:rFonts w:cs="Times New Roman"/>
          <w:sz w:val="24"/>
          <w:szCs w:val="24"/>
        </w:rPr>
        <w:t xml:space="preserve">the </w:t>
      </w:r>
      <w:r w:rsidRPr="003522B2">
        <w:rPr>
          <w:rFonts w:cs="Times New Roman"/>
          <w:sz w:val="24"/>
          <w:szCs w:val="24"/>
        </w:rPr>
        <w:t xml:space="preserve">ITU could be smaller due to </w:t>
      </w:r>
      <w:r w:rsidR="00036D00">
        <w:rPr>
          <w:rFonts w:cs="Times New Roman"/>
          <w:sz w:val="24"/>
          <w:szCs w:val="24"/>
        </w:rPr>
        <w:t xml:space="preserve">the </w:t>
      </w:r>
      <w:r w:rsidRPr="003522B2">
        <w:rPr>
          <w:rFonts w:cs="Times New Roman"/>
          <w:sz w:val="24"/>
          <w:szCs w:val="24"/>
        </w:rPr>
        <w:t xml:space="preserve">possibility to benefit from the financial contribution of </w:t>
      </w:r>
      <w:r w:rsidR="00036D00">
        <w:rPr>
          <w:rFonts w:cs="Times New Roman"/>
          <w:sz w:val="24"/>
          <w:szCs w:val="24"/>
        </w:rPr>
        <w:t>the institutions approached</w:t>
      </w:r>
      <w:r w:rsidRPr="003522B2">
        <w:rPr>
          <w:rFonts w:cs="Times New Roman"/>
          <w:sz w:val="24"/>
          <w:szCs w:val="24"/>
        </w:rPr>
        <w:t xml:space="preserve">. </w:t>
      </w:r>
    </w:p>
    <w:p w:rsidR="00C74A1C" w:rsidRPr="00036D00" w:rsidRDefault="00C74A1C" w:rsidP="00C74A1C">
      <w:pPr>
        <w:pStyle w:val="CEOSourceTitleDetails"/>
        <w:jc w:val="both"/>
        <w:rPr>
          <w:rFonts w:cs="Times New Roman"/>
          <w:b/>
          <w:sz w:val="24"/>
          <w:szCs w:val="24"/>
          <w:u w:val="single"/>
        </w:rPr>
      </w:pPr>
    </w:p>
    <w:p w:rsidR="00281764" w:rsidRPr="00C74A1C" w:rsidRDefault="00281764" w:rsidP="00C74A1C">
      <w:pPr>
        <w:pStyle w:val="CEOSourceTitleDetails"/>
        <w:jc w:val="both"/>
        <w:rPr>
          <w:rFonts w:cs="Times New Roman"/>
          <w:b/>
          <w:sz w:val="24"/>
          <w:szCs w:val="24"/>
          <w:u w:val="single"/>
          <w:lang w:val="en-US"/>
        </w:rPr>
      </w:pPr>
      <w:r w:rsidRPr="00C74A1C">
        <w:rPr>
          <w:rFonts w:cs="Times New Roman"/>
          <w:b/>
          <w:sz w:val="24"/>
          <w:szCs w:val="24"/>
          <w:u w:val="single"/>
          <w:lang w:val="en-US"/>
        </w:rPr>
        <w:t xml:space="preserve">Process </w:t>
      </w:r>
    </w:p>
    <w:p w:rsidR="00281764" w:rsidRPr="00C74A1C" w:rsidRDefault="00281764" w:rsidP="00C74A1C">
      <w:pPr>
        <w:pStyle w:val="CEOSourceTitleDetails"/>
        <w:jc w:val="both"/>
        <w:rPr>
          <w:rFonts w:cs="Times New Roman"/>
          <w:sz w:val="24"/>
          <w:szCs w:val="24"/>
          <w:lang w:val="en-US"/>
        </w:rPr>
      </w:pPr>
      <w:r w:rsidRPr="00C74A1C">
        <w:rPr>
          <w:rFonts w:cs="Times New Roman"/>
          <w:sz w:val="24"/>
          <w:szCs w:val="24"/>
          <w:lang w:val="en-US"/>
        </w:rPr>
        <w:t>Poland takes the view that with this approach high on the ITU strategic plan 2016-2019</w:t>
      </w:r>
      <w:r w:rsidR="00036D00">
        <w:rPr>
          <w:rFonts w:cs="Times New Roman"/>
          <w:sz w:val="24"/>
          <w:szCs w:val="24"/>
          <w:lang w:val="en-US"/>
        </w:rPr>
        <w:t xml:space="preserve">, </w:t>
      </w:r>
      <w:r w:rsidRPr="00C74A1C">
        <w:rPr>
          <w:rFonts w:cs="Times New Roman"/>
          <w:sz w:val="24"/>
          <w:szCs w:val="24"/>
          <w:lang w:val="en-US"/>
        </w:rPr>
        <w:t>f</w:t>
      </w:r>
      <w:r w:rsidR="00036D00">
        <w:rPr>
          <w:rFonts w:cs="Times New Roman"/>
          <w:sz w:val="24"/>
          <w:szCs w:val="24"/>
          <w:lang w:val="en-US"/>
        </w:rPr>
        <w:t>or the</w:t>
      </w:r>
      <w:r w:rsidRPr="00C74A1C">
        <w:rPr>
          <w:rFonts w:cs="Times New Roman"/>
          <w:sz w:val="24"/>
          <w:szCs w:val="24"/>
          <w:lang w:val="en-US"/>
        </w:rPr>
        <w:t xml:space="preserve"> </w:t>
      </w:r>
      <w:r w:rsidR="00036D00">
        <w:rPr>
          <w:rFonts w:cs="Times New Roman"/>
          <w:sz w:val="24"/>
          <w:szCs w:val="24"/>
          <w:lang w:val="en-US"/>
        </w:rPr>
        <w:t>project</w:t>
      </w:r>
      <w:r w:rsidRPr="00C74A1C">
        <w:rPr>
          <w:rFonts w:cs="Times New Roman"/>
          <w:sz w:val="24"/>
          <w:szCs w:val="24"/>
          <w:lang w:val="en-US"/>
        </w:rPr>
        <w:t xml:space="preserve"> to take effect, the General Secretariat should: </w:t>
      </w:r>
    </w:p>
    <w:p w:rsidR="00281764" w:rsidRPr="00C74A1C" w:rsidRDefault="00281764" w:rsidP="00C74A1C">
      <w:pPr>
        <w:pStyle w:val="CEODocIndentEndashList"/>
        <w:numPr>
          <w:ilvl w:val="0"/>
          <w:numId w:val="2"/>
        </w:numPr>
        <w:jc w:val="both"/>
        <w:rPr>
          <w:rFonts w:asciiTheme="minorHAnsi" w:hAnsiTheme="minorHAnsi" w:cs="Times New Roman"/>
          <w:sz w:val="24"/>
          <w:szCs w:val="24"/>
        </w:rPr>
      </w:pPr>
      <w:r w:rsidRPr="00C74A1C">
        <w:rPr>
          <w:rFonts w:asciiTheme="minorHAnsi" w:eastAsia="SimHei" w:hAnsiTheme="minorHAnsi" w:cs="Times New Roman"/>
          <w:sz w:val="24"/>
          <w:szCs w:val="24"/>
        </w:rPr>
        <w:t>examine this proposal and prepare legal, financial and strategic mechanism of potential cooperation</w:t>
      </w:r>
      <w:r w:rsidR="00036D00">
        <w:rPr>
          <w:rFonts w:asciiTheme="minorHAnsi" w:eastAsia="SimHei" w:hAnsiTheme="minorHAnsi" w:cs="Times New Roman"/>
          <w:sz w:val="24"/>
          <w:szCs w:val="24"/>
        </w:rPr>
        <w:t>,</w:t>
      </w:r>
    </w:p>
    <w:p w:rsidR="00281764" w:rsidRPr="00C74A1C" w:rsidRDefault="00C74A1C" w:rsidP="00C74A1C">
      <w:pPr>
        <w:pStyle w:val="CEODocIndentEndashList"/>
        <w:numPr>
          <w:ilvl w:val="0"/>
          <w:numId w:val="2"/>
        </w:numPr>
        <w:jc w:val="both"/>
        <w:rPr>
          <w:rFonts w:asciiTheme="minorHAnsi" w:hAnsiTheme="minorHAnsi" w:cs="Times New Roman"/>
          <w:sz w:val="24"/>
          <w:szCs w:val="24"/>
        </w:rPr>
      </w:pPr>
      <w:r w:rsidRPr="00C74A1C">
        <w:rPr>
          <w:rFonts w:asciiTheme="minorHAnsi" w:hAnsiTheme="minorHAnsi" w:cs="Times New Roman"/>
          <w:sz w:val="24"/>
          <w:szCs w:val="24"/>
        </w:rPr>
        <w:t>e</w:t>
      </w:r>
      <w:r w:rsidR="00281764" w:rsidRPr="00C74A1C">
        <w:rPr>
          <w:rFonts w:asciiTheme="minorHAnsi" w:hAnsiTheme="minorHAnsi" w:cs="Times New Roman"/>
          <w:sz w:val="24"/>
          <w:szCs w:val="24"/>
        </w:rPr>
        <w:t xml:space="preserve">nlist organizations to be approached and </w:t>
      </w:r>
      <w:r w:rsidR="00281764" w:rsidRPr="00C74A1C">
        <w:rPr>
          <w:rFonts w:asciiTheme="minorHAnsi" w:hAnsiTheme="minorHAnsi"/>
          <w:sz w:val="24"/>
          <w:szCs w:val="24"/>
        </w:rPr>
        <w:t>reach out to them with bilateral or multilateral proposals on enhanced collaboration in the ICT projects.</w:t>
      </w:r>
    </w:p>
    <w:p w:rsidR="00281764" w:rsidRPr="00C74A1C" w:rsidRDefault="00281764" w:rsidP="00C74A1C">
      <w:pPr>
        <w:pStyle w:val="CEODocIndentEndashList"/>
        <w:numPr>
          <w:ilvl w:val="0"/>
          <w:numId w:val="2"/>
        </w:numPr>
        <w:jc w:val="both"/>
        <w:rPr>
          <w:rFonts w:asciiTheme="minorHAnsi" w:eastAsia="SimHei" w:hAnsiTheme="minorHAnsi" w:cs="Times New Roman"/>
          <w:sz w:val="24"/>
          <w:szCs w:val="24"/>
        </w:rPr>
      </w:pPr>
      <w:r w:rsidRPr="00C74A1C">
        <w:rPr>
          <w:rFonts w:asciiTheme="minorHAnsi" w:hAnsiTheme="minorHAnsi" w:cs="Times New Roman"/>
          <w:sz w:val="24"/>
          <w:szCs w:val="24"/>
        </w:rPr>
        <w:lastRenderedPageBreak/>
        <w:t>where appropriate, foster enhanced and formal cooperation between ongoing ITU- third party projects,</w:t>
      </w:r>
    </w:p>
    <w:p w:rsidR="00150243" w:rsidRPr="00C74A1C" w:rsidRDefault="00281764" w:rsidP="00C74A1C">
      <w:pPr>
        <w:pStyle w:val="CEODocIndentEndashList"/>
        <w:numPr>
          <w:ilvl w:val="0"/>
          <w:numId w:val="2"/>
        </w:numPr>
        <w:jc w:val="both"/>
        <w:rPr>
          <w:rFonts w:asciiTheme="minorHAnsi" w:hAnsiTheme="minorHAnsi"/>
          <w:i/>
          <w:sz w:val="24"/>
          <w:szCs w:val="24"/>
        </w:rPr>
      </w:pPr>
      <w:r w:rsidRPr="00C74A1C">
        <w:rPr>
          <w:rFonts w:asciiTheme="minorHAnsi" w:eastAsia="SimHei" w:hAnsiTheme="minorHAnsi" w:cs="Times New Roman"/>
          <w:sz w:val="24"/>
          <w:szCs w:val="24"/>
        </w:rPr>
        <w:t>report annually back to the ITU Council</w:t>
      </w:r>
      <w:r w:rsidR="00494E79">
        <w:rPr>
          <w:rFonts w:asciiTheme="minorHAnsi" w:eastAsia="SimHei" w:hAnsiTheme="minorHAnsi" w:cs="Times New Roman"/>
          <w:sz w:val="24"/>
          <w:szCs w:val="24"/>
        </w:rPr>
        <w:t xml:space="preserve"> regarding implementation of this</w:t>
      </w:r>
      <w:r w:rsidRPr="00C74A1C">
        <w:rPr>
          <w:rFonts w:asciiTheme="minorHAnsi" w:eastAsia="SimHei" w:hAnsiTheme="minorHAnsi" w:cs="Times New Roman"/>
          <w:sz w:val="24"/>
          <w:szCs w:val="24"/>
        </w:rPr>
        <w:t xml:space="preserve"> </w:t>
      </w:r>
      <w:r w:rsidR="00494E79">
        <w:rPr>
          <w:rFonts w:asciiTheme="minorHAnsi" w:eastAsia="SimHei" w:hAnsiTheme="minorHAnsi" w:cs="Times New Roman"/>
          <w:sz w:val="24"/>
          <w:szCs w:val="24"/>
        </w:rPr>
        <w:t>proposal</w:t>
      </w:r>
      <w:r w:rsidRPr="00C74A1C">
        <w:rPr>
          <w:rFonts w:asciiTheme="minorHAnsi" w:eastAsia="SimHei" w:hAnsiTheme="minorHAnsi" w:cs="Times New Roman"/>
          <w:sz w:val="24"/>
          <w:szCs w:val="24"/>
        </w:rPr>
        <w:t>.</w:t>
      </w:r>
    </w:p>
    <w:p w:rsidR="00150243" w:rsidRPr="008B0AA9" w:rsidRDefault="00150243" w:rsidP="001D513F">
      <w:pPr>
        <w:jc w:val="both"/>
        <w:rPr>
          <w:sz w:val="24"/>
          <w:szCs w:val="24"/>
          <w:lang w:val="en-GB"/>
        </w:rPr>
      </w:pPr>
    </w:p>
    <w:p w:rsidR="00A4186A" w:rsidRPr="003522B2" w:rsidRDefault="00A4186A" w:rsidP="00A4186A">
      <w:pPr>
        <w:rPr>
          <w:b/>
          <w:sz w:val="24"/>
          <w:szCs w:val="24"/>
          <w:lang w:val="en-GB"/>
        </w:rPr>
      </w:pPr>
    </w:p>
    <w:sectPr w:rsidR="00A4186A" w:rsidRPr="003522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6C6" w:rsidRDefault="00AF36C6" w:rsidP="000248F2">
      <w:pPr>
        <w:spacing w:after="0" w:line="240" w:lineRule="auto"/>
      </w:pPr>
      <w:r>
        <w:separator/>
      </w:r>
    </w:p>
  </w:endnote>
  <w:endnote w:type="continuationSeparator" w:id="0">
    <w:p w:rsidR="00AF36C6" w:rsidRDefault="00AF36C6" w:rsidP="0002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6C6" w:rsidRDefault="00AF36C6" w:rsidP="000248F2">
      <w:pPr>
        <w:spacing w:after="0" w:line="240" w:lineRule="auto"/>
      </w:pPr>
      <w:r>
        <w:separator/>
      </w:r>
    </w:p>
  </w:footnote>
  <w:footnote w:type="continuationSeparator" w:id="0">
    <w:p w:rsidR="00AF36C6" w:rsidRDefault="00AF36C6" w:rsidP="000248F2">
      <w:pPr>
        <w:spacing w:after="0" w:line="240" w:lineRule="auto"/>
      </w:pPr>
      <w:r>
        <w:continuationSeparator/>
      </w:r>
    </w:p>
  </w:footnote>
  <w:footnote w:id="1">
    <w:p w:rsidR="003C3776" w:rsidRPr="003D111D" w:rsidRDefault="003C3776" w:rsidP="003C3776">
      <w:pPr>
        <w:pStyle w:val="Tekstprzypisudolnego"/>
        <w:rPr>
          <w:rFonts w:asciiTheme="minorHAnsi" w:hAnsiTheme="minorHAnsi"/>
        </w:rPr>
      </w:pPr>
      <w:r w:rsidRPr="003D111D">
        <w:rPr>
          <w:rStyle w:val="Odwoanieprzypisudolnego"/>
          <w:rFonts w:asciiTheme="minorHAnsi" w:hAnsiTheme="minorHAnsi"/>
        </w:rPr>
        <w:footnoteRef/>
      </w:r>
      <w:r w:rsidRPr="003D111D">
        <w:rPr>
          <w:rFonts w:asciiTheme="minorHAnsi" w:hAnsiTheme="minorHAnsi"/>
        </w:rPr>
        <w:t xml:space="preserve"> </w:t>
      </w:r>
      <w:r w:rsidRPr="003D111D">
        <w:rPr>
          <w:rFonts w:asciiTheme="minorHAnsi" w:hAnsiTheme="minorHAnsi" w:cs="Arial"/>
          <w:bCs/>
          <w:color w:val="444444"/>
          <w:sz w:val="19"/>
          <w:szCs w:val="28"/>
        </w:rPr>
        <w:t>African, Caribbean and Pacific Group of States</w:t>
      </w:r>
      <w:r w:rsidRPr="003D111D">
        <w:rPr>
          <w:rFonts w:asciiTheme="minorHAnsi" w:hAnsiTheme="minorHAnsi" w:cs="Arial"/>
          <w:color w:val="444444"/>
          <w:sz w:val="19"/>
          <w:szCs w:val="28"/>
        </w:rPr>
        <w:t> </w:t>
      </w:r>
    </w:p>
  </w:footnote>
  <w:footnote w:id="2">
    <w:p w:rsidR="008B0AA9" w:rsidRPr="003522B2" w:rsidRDefault="008B0AA9">
      <w:pPr>
        <w:pStyle w:val="Tekstprzypisudolnego"/>
        <w:rPr>
          <w:sz w:val="18"/>
          <w:szCs w:val="18"/>
        </w:rPr>
      </w:pPr>
      <w:r w:rsidRPr="003522B2">
        <w:rPr>
          <w:rStyle w:val="Odwoanieprzypisudolnego"/>
          <w:sz w:val="18"/>
          <w:szCs w:val="18"/>
        </w:rPr>
        <w:footnoteRef/>
      </w:r>
      <w:r w:rsidRPr="003522B2">
        <w:rPr>
          <w:sz w:val="18"/>
          <w:szCs w:val="18"/>
        </w:rPr>
        <w:t xml:space="preserve"> Just to give an example</w:t>
      </w:r>
      <w:r w:rsidR="009E4F14">
        <w:rPr>
          <w:sz w:val="18"/>
          <w:szCs w:val="18"/>
        </w:rPr>
        <w:t xml:space="preserve"> of potential leverage</w:t>
      </w:r>
      <w:r w:rsidRPr="003522B2">
        <w:rPr>
          <w:sz w:val="18"/>
          <w:szCs w:val="18"/>
        </w:rPr>
        <w:t xml:space="preserve"> in 2013 alone, the World Bank conducted 9 big projects in the field of telecommunications bringing in approx. 850mln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C6F09"/>
    <w:multiLevelType w:val="hybridMultilevel"/>
    <w:tmpl w:val="E03E4AB0"/>
    <w:lvl w:ilvl="0" w:tplc="A6245DE8">
      <w:start w:val="1"/>
      <w:numFmt w:val="bullet"/>
      <w:pStyle w:val="CEODocIndentEndashList"/>
      <w:lvlText w:val="–"/>
      <w:lvlJc w:val="left"/>
      <w:pPr>
        <w:tabs>
          <w:tab w:val="num" w:pos="927"/>
        </w:tabs>
        <w:ind w:left="927" w:hanging="360"/>
      </w:pPr>
      <w:rPr>
        <w:rFonts w:ascii="Verdana" w:hAnsi="Verdana"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nsid w:val="58D707D4"/>
    <w:multiLevelType w:val="hybridMultilevel"/>
    <w:tmpl w:val="4408714A"/>
    <w:lvl w:ilvl="0" w:tplc="9F1C9406">
      <w:start w:val="12"/>
      <w:numFmt w:val="bullet"/>
      <w:lvlText w:val="-"/>
      <w:lvlJc w:val="left"/>
      <w:pPr>
        <w:tabs>
          <w:tab w:val="num" w:pos="720"/>
        </w:tabs>
        <w:ind w:left="720" w:hanging="360"/>
      </w:pPr>
      <w:rPr>
        <w:rFonts w:ascii="Verdana" w:eastAsia="SimSun" w:hAnsi="Verdana" w:cs="Simplified Arabic"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AF"/>
    <w:rsid w:val="000248F2"/>
    <w:rsid w:val="00036D00"/>
    <w:rsid w:val="00084D44"/>
    <w:rsid w:val="00133D3C"/>
    <w:rsid w:val="00150243"/>
    <w:rsid w:val="00195D9F"/>
    <w:rsid w:val="001D513F"/>
    <w:rsid w:val="002066EE"/>
    <w:rsid w:val="0022210C"/>
    <w:rsid w:val="00234019"/>
    <w:rsid w:val="00252C02"/>
    <w:rsid w:val="00254CE5"/>
    <w:rsid w:val="00281764"/>
    <w:rsid w:val="003522B2"/>
    <w:rsid w:val="003755FD"/>
    <w:rsid w:val="003C3776"/>
    <w:rsid w:val="00494E79"/>
    <w:rsid w:val="00563C14"/>
    <w:rsid w:val="005C6396"/>
    <w:rsid w:val="005F7192"/>
    <w:rsid w:val="00630246"/>
    <w:rsid w:val="006C1E01"/>
    <w:rsid w:val="00713F5D"/>
    <w:rsid w:val="00773BE8"/>
    <w:rsid w:val="007800D5"/>
    <w:rsid w:val="007B2360"/>
    <w:rsid w:val="0082705C"/>
    <w:rsid w:val="008836A0"/>
    <w:rsid w:val="008B0AA9"/>
    <w:rsid w:val="009067CB"/>
    <w:rsid w:val="009538E9"/>
    <w:rsid w:val="00983041"/>
    <w:rsid w:val="00991DA3"/>
    <w:rsid w:val="009B0386"/>
    <w:rsid w:val="009B1CAF"/>
    <w:rsid w:val="009E4F14"/>
    <w:rsid w:val="009F3FC8"/>
    <w:rsid w:val="00A234B2"/>
    <w:rsid w:val="00A4186A"/>
    <w:rsid w:val="00A93FEF"/>
    <w:rsid w:val="00AD493D"/>
    <w:rsid w:val="00AF36C6"/>
    <w:rsid w:val="00B20F2A"/>
    <w:rsid w:val="00B42C3F"/>
    <w:rsid w:val="00BF7A56"/>
    <w:rsid w:val="00C115F6"/>
    <w:rsid w:val="00C21D5F"/>
    <w:rsid w:val="00C22FDA"/>
    <w:rsid w:val="00C33440"/>
    <w:rsid w:val="00C50B35"/>
    <w:rsid w:val="00C70629"/>
    <w:rsid w:val="00C73B2A"/>
    <w:rsid w:val="00C74A1C"/>
    <w:rsid w:val="00D60913"/>
    <w:rsid w:val="00E85332"/>
    <w:rsid w:val="00EA5E44"/>
    <w:rsid w:val="00ED1CCA"/>
    <w:rsid w:val="00F0191A"/>
    <w:rsid w:val="00F306A6"/>
    <w:rsid w:val="00FF7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666BB-DF6A-4AB5-AC29-ACAA6220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nhideWhenUsed/>
    <w:qFormat/>
    <w:rsid w:val="00150243"/>
    <w:pPr>
      <w:keepNext/>
      <w:keepLines/>
      <w:spacing w:before="200" w:after="0" w:line="240" w:lineRule="auto"/>
      <w:outlineLvl w:val="2"/>
    </w:pPr>
    <w:rPr>
      <w:rFonts w:asciiTheme="majorHAnsi" w:eastAsiaTheme="majorEastAsia" w:hAnsiTheme="majorHAnsi" w:cstheme="majorBidi"/>
      <w:b/>
      <w:bCs/>
      <w:color w:val="5B9BD5" w:themeColor="accent1"/>
      <w:sz w:val="19"/>
      <w:szCs w:val="28"/>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3755FD"/>
  </w:style>
  <w:style w:type="character" w:styleId="Pogrubienie">
    <w:name w:val="Strong"/>
    <w:basedOn w:val="Domylnaczcionkaakapitu"/>
    <w:uiPriority w:val="22"/>
    <w:qFormat/>
    <w:rsid w:val="003755FD"/>
    <w:rPr>
      <w:b/>
      <w:bCs/>
    </w:rPr>
  </w:style>
  <w:style w:type="character" w:customStyle="1" w:styleId="Nagwek3Znak">
    <w:name w:val="Nagłówek 3 Znak"/>
    <w:basedOn w:val="Domylnaczcionkaakapitu"/>
    <w:link w:val="Nagwek3"/>
    <w:rsid w:val="00150243"/>
    <w:rPr>
      <w:rFonts w:asciiTheme="majorHAnsi" w:eastAsiaTheme="majorEastAsia" w:hAnsiTheme="majorHAnsi" w:cstheme="majorBidi"/>
      <w:b/>
      <w:bCs/>
      <w:color w:val="5B9BD5" w:themeColor="accent1"/>
      <w:sz w:val="19"/>
      <w:szCs w:val="28"/>
      <w:lang w:val="en-US" w:eastAsia="zh-CN"/>
    </w:rPr>
  </w:style>
  <w:style w:type="paragraph" w:customStyle="1" w:styleId="CEONormal">
    <w:name w:val="CEO_Normal"/>
    <w:link w:val="CEONormalChar"/>
    <w:rsid w:val="00150243"/>
    <w:pPr>
      <w:spacing w:before="120" w:after="120" w:line="240" w:lineRule="auto"/>
    </w:pPr>
    <w:rPr>
      <w:rFonts w:ascii="Verdana" w:eastAsia="SimSun" w:hAnsi="Verdana" w:cs="Verdana"/>
      <w:sz w:val="19"/>
      <w:szCs w:val="19"/>
      <w:lang w:val="en-GB" w:eastAsia="fr-FR"/>
    </w:rPr>
  </w:style>
  <w:style w:type="character" w:customStyle="1" w:styleId="CEONormalChar">
    <w:name w:val="CEO_Normal Char"/>
    <w:link w:val="CEONormal"/>
    <w:rsid w:val="00150243"/>
    <w:rPr>
      <w:rFonts w:ascii="Verdana" w:eastAsia="SimSun" w:hAnsi="Verdana" w:cs="Verdana"/>
      <w:sz w:val="19"/>
      <w:szCs w:val="19"/>
      <w:lang w:val="en-GB" w:eastAsia="fr-FR"/>
    </w:rPr>
  </w:style>
  <w:style w:type="paragraph" w:customStyle="1" w:styleId="CEODocIndentEndashList">
    <w:name w:val="CEO_Doc_Indent_EndashList"/>
    <w:rsid w:val="00150243"/>
    <w:pPr>
      <w:numPr>
        <w:numId w:val="1"/>
      </w:numPr>
      <w:spacing w:before="60" w:after="60" w:line="240" w:lineRule="auto"/>
      <w:ind w:right="709"/>
    </w:pPr>
    <w:rPr>
      <w:rFonts w:ascii="Verdana" w:eastAsia="SimSun" w:hAnsi="Verdana" w:cs="Simplified Arabic"/>
      <w:sz w:val="19"/>
      <w:szCs w:val="28"/>
      <w:lang w:val="en-GB"/>
    </w:rPr>
  </w:style>
  <w:style w:type="paragraph" w:customStyle="1" w:styleId="CEOSourceTitleDetails">
    <w:name w:val="CEO_SourceTitleDetails"/>
    <w:basedOn w:val="Normalny"/>
    <w:rsid w:val="00150243"/>
    <w:pPr>
      <w:spacing w:before="120" w:after="120" w:line="240" w:lineRule="auto"/>
    </w:pPr>
    <w:rPr>
      <w:rFonts w:eastAsia="SimSun" w:cs="Simplified Arabic"/>
      <w:szCs w:val="19"/>
      <w:lang w:val="en-GB"/>
    </w:rPr>
  </w:style>
  <w:style w:type="paragraph" w:styleId="Tekstdymka">
    <w:name w:val="Balloon Text"/>
    <w:basedOn w:val="Normalny"/>
    <w:link w:val="TekstdymkaZnak"/>
    <w:uiPriority w:val="99"/>
    <w:semiHidden/>
    <w:unhideWhenUsed/>
    <w:rsid w:val="001502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0243"/>
    <w:rPr>
      <w:rFonts w:ascii="Segoe UI" w:hAnsi="Segoe UI" w:cs="Segoe UI"/>
      <w:sz w:val="18"/>
      <w:szCs w:val="18"/>
    </w:rPr>
  </w:style>
  <w:style w:type="paragraph" w:styleId="Tekstprzypisudolnego">
    <w:name w:val="footnote text"/>
    <w:aliases w:val="ALTS FOOTNOTE,Footnote Text Char1,Footnote Text Char Char1,Footnote Text Char4 Char Char,Footnote Text Char1 Char1 Char1 Char,Footnote Text Char Char1 Char1 Char Char,Footnote Text Char1 Char1 Char1 Char Char Char1,DNV-FT,DNV-,DNV"/>
    <w:basedOn w:val="Normalny"/>
    <w:link w:val="TekstprzypisudolnegoZnak"/>
    <w:rsid w:val="000248F2"/>
    <w:pPr>
      <w:spacing w:after="0" w:line="240" w:lineRule="auto"/>
    </w:pPr>
    <w:rPr>
      <w:rFonts w:ascii="Verdana" w:eastAsia="SimHei" w:hAnsi="Verdana" w:cs="Verdana"/>
      <w:sz w:val="20"/>
      <w:szCs w:val="20"/>
      <w:lang w:val="en-US" w:eastAsia="zh-CN"/>
    </w:rPr>
  </w:style>
  <w:style w:type="character" w:customStyle="1" w:styleId="TekstprzypisudolnegoZnak">
    <w:name w:val="Tekst przypisu dolnego Znak"/>
    <w:aliases w:val="ALTS FOOTNOTE Znak,Footnote Text Char1 Znak,Footnote Text Char Char1 Znak,Footnote Text Char4 Char Char Znak,Footnote Text Char1 Char1 Char1 Char Znak,Footnote Text Char Char1 Char1 Char Char Znak,DNV-FT Znak,DNV- Znak"/>
    <w:basedOn w:val="Domylnaczcionkaakapitu"/>
    <w:link w:val="Tekstprzypisudolnego"/>
    <w:rsid w:val="000248F2"/>
    <w:rPr>
      <w:rFonts w:ascii="Verdana" w:eastAsia="SimHei" w:hAnsi="Verdana" w:cs="Verdana"/>
      <w:sz w:val="20"/>
      <w:szCs w:val="20"/>
      <w:lang w:val="en-US" w:eastAsia="zh-CN"/>
    </w:rPr>
  </w:style>
  <w:style w:type="character" w:styleId="Odwoanieprzypisudolnego">
    <w:name w:val="footnote reference"/>
    <w:aliases w:val="Appel note de bas de p,Footnote Reference/,Style 12,(NECG) Footnote Reference,Style 124,Footnote symbol,o,fr,Style 13,FR,Style 17,Style 3,Appel note de bas de p + 11 pt,Italic,Footnote,Appel note de bas de p1"/>
    <w:basedOn w:val="Domylnaczcionkaakapitu"/>
    <w:rsid w:val="000248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99B00-B148-4FD8-B455-9F55570F5C50}"/>
</file>

<file path=customXml/itemProps2.xml><?xml version="1.0" encoding="utf-8"?>
<ds:datastoreItem xmlns:ds="http://schemas.openxmlformats.org/officeDocument/2006/customXml" ds:itemID="{93701811-760D-4816-8695-1DCB595FFE2B}"/>
</file>

<file path=customXml/itemProps3.xml><?xml version="1.0" encoding="utf-8"?>
<ds:datastoreItem xmlns:ds="http://schemas.openxmlformats.org/officeDocument/2006/customXml" ds:itemID="{8CFF1B48-BFB9-4C30-B6D9-985E4B5CD136}"/>
</file>

<file path=customXml/itemProps4.xml><?xml version="1.0" encoding="utf-8"?>
<ds:datastoreItem xmlns:ds="http://schemas.openxmlformats.org/officeDocument/2006/customXml" ds:itemID="{94FA8AAD-5D16-457A-82B0-0E7AA8E4D7D5}"/>
</file>

<file path=docProps/app.xml><?xml version="1.0" encoding="utf-8"?>
<Properties xmlns="http://schemas.openxmlformats.org/officeDocument/2006/extended-properties" xmlns:vt="http://schemas.openxmlformats.org/officeDocument/2006/docPropsVTypes">
  <Template>Normal</Template>
  <TotalTime>4</TotalTime>
  <Pages>3</Pages>
  <Words>815</Words>
  <Characters>4893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MAiC</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Pukaluk Michał</dc:creator>
  <cp:keywords/>
  <dc:description/>
  <cp:lastModifiedBy>Pukaluk Michał</cp:lastModifiedBy>
  <cp:revision>4</cp:revision>
  <dcterms:created xsi:type="dcterms:W3CDTF">2014-01-30T15:32:00Z</dcterms:created>
  <dcterms:modified xsi:type="dcterms:W3CDTF">2014-02-11T10:00:00Z</dcterms:modified>
</cp:coreProperties>
</file>